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APPEL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OFFRES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 – 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>TATION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ACCUEIL MURALE POUR IPAD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Fabricant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iRoom</w:t>
      </w:r>
    </w:p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hAnsi="Arial"/>
          <w:rtl w:val="0"/>
          <w:lang w:val="fr-FR"/>
        </w:rPr>
        <w:t>Module carte relais 8 sorties haute tension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pour</w:t>
      </w:r>
      <w:r>
        <w:rPr>
          <w:rFonts w:ascii="Arial" w:hAnsi="Arial"/>
          <w:rtl w:val="0"/>
          <w:lang w:val="en-US"/>
        </w:rPr>
        <w:t xml:space="preserve"> iBezel </w:t>
      </w:r>
      <w:r>
        <w:rPr>
          <w:rFonts w:ascii="Arial" w:hAnsi="Arial"/>
          <w:rtl w:val="0"/>
          <w:lang w:val="fr-FR"/>
        </w:rPr>
        <w:t>&amp;</w:t>
      </w:r>
      <w:r>
        <w:rPr>
          <w:rFonts w:ascii="Arial" w:hAnsi="Arial"/>
          <w:rtl w:val="0"/>
          <w:lang w:val="en-US"/>
        </w:rPr>
        <w:t xml:space="preserve"> iTop</w:t>
      </w:r>
      <w:r>
        <w:rPr>
          <w:rFonts w:ascii="Arial" w:hAnsi="Arial"/>
          <w:rtl w:val="0"/>
          <w:lang w:val="fr-FR"/>
        </w:rPr>
        <w:t xml:space="preserve"> de iRoom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Nom du </w:t>
      </w: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iO83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Description du pr</w:t>
      </w:r>
      <w:r>
        <w:rPr>
          <w:rFonts w:ascii="Arial" w:hAnsi="Arial"/>
          <w:b w:val="1"/>
          <w:bCs w:val="1"/>
          <w:rtl w:val="0"/>
          <w:lang w:val="en-US"/>
        </w:rPr>
        <w:t>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Module de 8 relais haute tension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en-US"/>
        </w:rPr>
        <w:t>connect</w:t>
      </w:r>
      <w:r>
        <w:rPr>
          <w:rFonts w:ascii="Arial" w:hAnsi="Arial"/>
          <w:rtl w:val="0"/>
          <w:lang w:val="fr-FR"/>
        </w:rPr>
        <w:t>er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au</w:t>
      </w:r>
      <w:r>
        <w:rPr>
          <w:rFonts w:ascii="Arial" w:hAnsi="Arial"/>
          <w:rtl w:val="0"/>
          <w:lang w:val="en-US"/>
        </w:rPr>
        <w:t xml:space="preserve"> iBezel ou iTop </w:t>
      </w:r>
      <w:r>
        <w:rPr>
          <w:rFonts w:ascii="Arial" w:hAnsi="Arial"/>
          <w:rtl w:val="0"/>
          <w:lang w:val="fr-FR"/>
        </w:rPr>
        <w:t xml:space="preserve">de </w:t>
      </w:r>
      <w:r>
        <w:rPr>
          <w:rFonts w:ascii="Arial" w:hAnsi="Arial"/>
          <w:rtl w:val="0"/>
          <w:lang w:val="en-US"/>
        </w:rPr>
        <w:t>iRoom afin de contr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ler les appareils 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 xml:space="preserve">lectriques. Les relais </w:t>
      </w:r>
      <w:r>
        <w:rPr>
          <w:rFonts w:ascii="Arial" w:hAnsi="Arial"/>
          <w:rtl w:val="0"/>
          <w:lang w:val="fr-FR"/>
        </w:rPr>
        <w:t xml:space="preserve">peuvent 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tre</w:t>
      </w:r>
      <w:r>
        <w:rPr>
          <w:rFonts w:ascii="Arial" w:hAnsi="Arial"/>
          <w:rtl w:val="0"/>
          <w:lang w:val="en-US"/>
        </w:rPr>
        <w:t xml:space="preserve"> commut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s ou bascul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s en appuyant sur les touches rapides incorpor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es dans la fa</w:t>
      </w:r>
      <w:r>
        <w:rPr>
          <w:rFonts w:ascii="Arial" w:hAnsi="Arial" w:hint="default"/>
          <w:rtl w:val="0"/>
          <w:lang w:val="en-US"/>
        </w:rPr>
        <w:t>ç</w:t>
      </w:r>
      <w:r>
        <w:rPr>
          <w:rFonts w:ascii="Arial" w:hAnsi="Arial"/>
          <w:rtl w:val="0"/>
          <w:lang w:val="en-US"/>
        </w:rPr>
        <w:t>ade en verre d</w:t>
      </w:r>
      <w:r>
        <w:rPr>
          <w:rFonts w:ascii="Arial" w:hAnsi="Arial"/>
          <w:rtl w:val="0"/>
          <w:lang w:val="fr-FR"/>
        </w:rPr>
        <w:t xml:space="preserve">u </w:t>
      </w:r>
      <w:r>
        <w:rPr>
          <w:rFonts w:ascii="Arial" w:hAnsi="Arial"/>
          <w:rtl w:val="0"/>
          <w:lang w:val="en-US"/>
        </w:rPr>
        <w:t>iBezel et</w:t>
      </w:r>
      <w:r>
        <w:rPr>
          <w:rFonts w:ascii="Arial" w:hAnsi="Arial"/>
          <w:rtl w:val="0"/>
          <w:lang w:val="fr-FR"/>
        </w:rPr>
        <w:t xml:space="preserve"> du</w:t>
      </w:r>
      <w:r>
        <w:rPr>
          <w:rFonts w:ascii="Arial" w:hAnsi="Arial"/>
          <w:rtl w:val="0"/>
          <w:lang w:val="en-US"/>
        </w:rPr>
        <w:t xml:space="preserve"> iTop</w:t>
      </w:r>
      <w:r>
        <w:rPr>
          <w:rFonts w:ascii="Arial" w:hAnsi="Arial"/>
          <w:rtl w:val="0"/>
          <w:lang w:val="fr-FR"/>
        </w:rPr>
        <w:t xml:space="preserve"> et</w:t>
      </w:r>
      <w:r>
        <w:rPr>
          <w:rFonts w:ascii="Arial" w:hAnsi="Arial"/>
          <w:rtl w:val="0"/>
          <w:lang w:val="en-US"/>
        </w:rPr>
        <w:t xml:space="preserve"> peuvent 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tre utilis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s pour le contr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 xml:space="preserve">le de dispositifs 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lectriques tels que des lumi</w:t>
      </w:r>
      <w:r>
        <w:rPr>
          <w:rFonts w:ascii="Arial" w:hAnsi="Arial" w:hint="default"/>
          <w:rtl w:val="0"/>
          <w:lang w:val="en-US"/>
        </w:rPr>
        <w:t>è</w:t>
      </w:r>
      <w:r>
        <w:rPr>
          <w:rFonts w:ascii="Arial" w:hAnsi="Arial"/>
          <w:rtl w:val="0"/>
          <w:lang w:val="en-US"/>
        </w:rPr>
        <w:t>res</w:t>
      </w:r>
      <w:r>
        <w:rPr>
          <w:rFonts w:ascii="Arial" w:hAnsi="Arial"/>
          <w:rtl w:val="0"/>
          <w:lang w:val="fr-FR"/>
        </w:rPr>
        <w:t xml:space="preserve"> et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alimentations</w:t>
      </w:r>
      <w:r>
        <w:rPr>
          <w:rFonts w:ascii="Arial" w:hAnsi="Arial"/>
          <w:rtl w:val="0"/>
          <w:lang w:val="en-US"/>
        </w:rPr>
        <w:t>. Le module de relais est aliment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n-US"/>
        </w:rPr>
        <w:t xml:space="preserve">par l'adaptateur secteur 110-240 V inclus. Le module de relais peut </w:t>
      </w:r>
      <w:r>
        <w:rPr>
          <w:rFonts w:ascii="Arial" w:hAnsi="Arial" w:hint="default"/>
          <w:rtl w:val="0"/>
          <w:lang w:val="en-US"/>
        </w:rPr>
        <w:t>ê</w:t>
      </w:r>
      <w:r>
        <w:rPr>
          <w:rFonts w:ascii="Arial" w:hAnsi="Arial"/>
          <w:rtl w:val="0"/>
          <w:lang w:val="en-US"/>
        </w:rPr>
        <w:t>tre configur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n-US"/>
        </w:rPr>
        <w:t>via l'application iOS du fabricant.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Boitier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Aluminum </w:t>
      </w:r>
      <w:r>
        <w:rPr>
          <w:rFonts w:ascii="Arial" w:hAnsi="Arial"/>
          <w:rtl w:val="0"/>
          <w:lang w:val="fr-FR"/>
        </w:rPr>
        <w:t>noir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Alimentation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12 VDC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travers</w:t>
      </w:r>
      <w:r>
        <w:rPr>
          <w:rFonts w:ascii="Arial" w:hAnsi="Arial"/>
          <w:rtl w:val="0"/>
          <w:lang w:val="en-US"/>
        </w:rPr>
        <w:t xml:space="preserve"> l'adaptateur secteur 110-240V inclus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Connexions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Alimentation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RJ45 </w:t>
      </w:r>
      <w:r>
        <w:rPr>
          <w:rFonts w:ascii="Arial" w:hAnsi="Arial"/>
          <w:rtl w:val="0"/>
          <w:lang w:val="fr-FR"/>
        </w:rPr>
        <w:t xml:space="preserve">pour </w:t>
      </w:r>
      <w:r>
        <w:rPr>
          <w:rFonts w:ascii="Arial" w:hAnsi="Arial"/>
          <w:rtl w:val="0"/>
          <w:lang w:val="en-US"/>
        </w:rPr>
        <w:t>connection</w:t>
      </w:r>
      <w:r>
        <w:rPr>
          <w:rFonts w:ascii="Arial" w:hAnsi="Arial"/>
          <w:rtl w:val="0"/>
          <w:lang w:val="fr-FR"/>
        </w:rPr>
        <w:t xml:space="preserve"> LAN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Sorties</w:t>
      </w:r>
      <w:r>
        <w:rPr>
          <w:rFonts w:ascii="Arial" w:hAnsi="Arial"/>
          <w:rtl w:val="0"/>
          <w:lang w:val="en-US"/>
        </w:rPr>
        <w:t xml:space="preserve"> rela</w:t>
      </w:r>
      <w:r>
        <w:rPr>
          <w:rFonts w:ascii="Arial" w:hAnsi="Arial"/>
          <w:rtl w:val="0"/>
          <w:lang w:val="fr-FR"/>
        </w:rPr>
        <w:t>i</w:t>
      </w:r>
      <w:r>
        <w:rPr>
          <w:rFonts w:ascii="Arial" w:hAnsi="Arial"/>
          <w:rtl w:val="0"/>
          <w:lang w:val="en-US"/>
        </w:rPr>
        <w:t>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Rela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 xml:space="preserve">: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8 </w:t>
      </w:r>
      <w:r>
        <w:rPr>
          <w:rFonts w:ascii="Arial" w:hAnsi="Arial"/>
          <w:rtl w:val="0"/>
          <w:lang w:val="fr-FR"/>
        </w:rPr>
        <w:t>sorties</w:t>
      </w:r>
      <w:r>
        <w:rPr>
          <w:rFonts w:ascii="Arial" w:hAnsi="Arial"/>
          <w:rtl w:val="0"/>
          <w:lang w:val="en-US"/>
        </w:rPr>
        <w:t xml:space="preserve"> 0-240V</w:t>
      </w:r>
      <w:r>
        <w:rPr>
          <w:rFonts w:ascii="Arial" w:hAnsi="Arial"/>
          <w:rtl w:val="0"/>
          <w:lang w:val="fr-FR"/>
        </w:rPr>
        <w:t xml:space="preserve"> non inter-verrouill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 xml:space="preserve">es, puissance totale de coupure </w:t>
      </w:r>
      <w:r>
        <w:rPr>
          <w:rFonts w:ascii="Arial" w:hAnsi="Arial"/>
          <w:rtl w:val="0"/>
          <w:lang w:val="en-US"/>
        </w:rPr>
        <w:t>10A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Mo</w:t>
      </w:r>
      <w:r>
        <w:rPr>
          <w:rFonts w:ascii="Arial" w:hAnsi="Arial"/>
          <w:b w:val="1"/>
          <w:bCs w:val="1"/>
          <w:rtl w:val="0"/>
          <w:lang w:val="fr-FR"/>
        </w:rPr>
        <w:t xml:space="preserve">ntage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visser sur un mur ou autres surfaces.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Dimensions: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104,5 x 83,0 x 28,7 mm </w:t>
      </w:r>
      <w:r>
        <w:rPr>
          <w:rFonts w:ascii="Arial" w:hAnsi="Arial"/>
          <w:rtl w:val="0"/>
          <w:lang w:val="en-US"/>
        </w:rPr>
        <w:t>(largeur x hauteur x profondeur)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Poids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rtl w:val="0"/>
          <w:lang w:val="en-US"/>
        </w:rPr>
        <w:t>150 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Conditions pour l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utilisation et le stockage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-25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+75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C; 5%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 xml:space="preserve">95% </w:t>
      </w:r>
      <w:r>
        <w:rPr>
          <w:rFonts w:ascii="Arial" w:hAnsi="Arial"/>
          <w:rtl w:val="0"/>
          <w:lang w:val="en-US"/>
        </w:rPr>
        <w:t>RH sans condensation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Contenu de la livraison :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Module</w:t>
      </w:r>
      <w:r>
        <w:rPr>
          <w:rFonts w:ascii="Arial" w:hAnsi="Arial"/>
          <w:sz w:val="24"/>
          <w:szCs w:val="24"/>
          <w:rtl w:val="0"/>
          <w:lang w:val="fr-FR"/>
        </w:rPr>
        <w:t xml:space="preserve"> relais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Antenn</w:t>
      </w:r>
      <w:r>
        <w:rPr>
          <w:rFonts w:ascii="Arial" w:hAnsi="Arial"/>
          <w:sz w:val="24"/>
          <w:szCs w:val="24"/>
          <w:rtl w:val="0"/>
          <w:lang w:val="fr-FR"/>
        </w:rPr>
        <w:t>e Wifi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fr-FR"/>
        </w:rPr>
        <w:t>Adaptateur secteur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cs="Arial" w:hAnsi="Arial" w:eastAsia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rtl w:val="0"/>
          <w:lang w:val="en-US"/>
        </w:rPr>
        <w:t>Mode d'emploi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cs="Arial" w:hAnsi="Arial" w:eastAsia="Arial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</w:rPr>
      <w:fldChar w:fldCharType="begin" w:fldLock="0"/>
    </w:r>
    <w:r>
      <w:rPr>
        <w:rFonts w:ascii="Arial" w:cs="Arial" w:hAnsi="Arial" w:eastAsia="Arial"/>
        <w:sz w:val="12"/>
        <w:szCs w:val="12"/>
      </w:rPr>
      <w:instrText xml:space="preserve"> DATE \@ "dd.MM.yy" </w:instrText>
    </w:r>
    <w:r>
      <w:rPr>
        <w:rFonts w:ascii="Arial" w:cs="Arial" w:hAnsi="Arial" w:eastAsia="Arial"/>
        <w:sz w:val="12"/>
        <w:szCs w:val="12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25.01.2017</w:t>
    </w:r>
    <w:r>
      <w:rPr>
        <w:rFonts w:ascii="Arial" w:cs="Arial" w:hAnsi="Arial" w:eastAsia="Arial"/>
        <w:sz w:val="12"/>
        <w:szCs w:val="12"/>
      </w:rPr>
      <w:fldChar w:fldCharType="end" w:fldLock="0"/>
    </w: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  <w:rtl w:val="0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</w:rPr>
      <w:t>2</w:t>
    </w:r>
    <w:r>
      <w:rPr>
        <w:rFonts w:ascii="Arial" w:cs="Arial" w:hAnsi="Arial" w:eastAsia="Arial"/>
        <w:sz w:val="12"/>
        <w:szCs w:val="12"/>
        <w:rtl w:val="0"/>
      </w:rPr>
      <w:fldChar w:fldCharType="end" w:fldLock="0"/>
    </w:r>
    <w:r>
      <w:rPr>
        <w:rFonts w:ascii="Arial" w:hAnsi="Arial"/>
        <w:sz w:val="12"/>
        <w:szCs w:val="12"/>
        <w:rtl w:val="0"/>
        <w:lang w:val="de-DE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Fonts w:ascii="Arial" w:cs="Arial" w:hAnsi="Arial" w:eastAsia="Arial"/>
        <w:sz w:val="12"/>
        <w:szCs w:val="12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iRoom GmbH - Intelligente Technik; Rechtsform: GmbH; Firmensitz: Oberndorf; Gerichtsstand: Oberndorf; Firmenbuchnummer.: 307737f ; UID-Nr..: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Salzburger Landes-Hypothekenbank AG - Kontonr..: 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8531" cy="93853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1" cy="938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95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916" w:hanging="20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72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44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16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88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580" w:hanging="27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32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6044" w:hanging="29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